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62" w:rsidRDefault="001E4162" w:rsidP="001E4162">
      <w:pPr>
        <w:tabs>
          <w:tab w:val="left" w:pos="360"/>
          <w:tab w:val="left" w:pos="540"/>
        </w:tabs>
        <w:ind w:left="389" w:hanging="105"/>
        <w:jc w:val="right"/>
        <w:rPr>
          <w:iCs/>
          <w:color w:val="000000"/>
        </w:rPr>
      </w:pPr>
      <w:r w:rsidRPr="00BA0DF2">
        <w:rPr>
          <w:iCs/>
          <w:color w:val="000000"/>
        </w:rPr>
        <w:t>Załącznik</w:t>
      </w:r>
      <w:r>
        <w:rPr>
          <w:iCs/>
          <w:color w:val="000000"/>
        </w:rPr>
        <w:t xml:space="preserve"> nr 2</w:t>
      </w:r>
    </w:p>
    <w:p w:rsidR="001E4162" w:rsidRPr="00BA0DF2" w:rsidRDefault="001E4162" w:rsidP="001E4162">
      <w:pPr>
        <w:tabs>
          <w:tab w:val="left" w:pos="360"/>
          <w:tab w:val="left" w:pos="540"/>
        </w:tabs>
        <w:ind w:left="389" w:hanging="105"/>
        <w:jc w:val="right"/>
        <w:rPr>
          <w:iCs/>
          <w:color w:val="000000"/>
        </w:rPr>
      </w:pPr>
      <w:r>
        <w:rPr>
          <w:iCs/>
          <w:color w:val="000000"/>
        </w:rPr>
        <w:t>Obowiązek informacyjny dla Wykonawcy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56"/>
      </w:tblGrid>
      <w:tr w:rsidR="001E4162" w:rsidRPr="007B0DE4" w:rsidTr="00C7355C">
        <w:tc>
          <w:tcPr>
            <w:tcW w:w="9912" w:type="dxa"/>
            <w:gridSpan w:val="2"/>
            <w:shd w:val="clear" w:color="auto" w:fill="E7E6E6"/>
          </w:tcPr>
          <w:p w:rsidR="001E4162" w:rsidRPr="009A09E2" w:rsidRDefault="001E4162" w:rsidP="00C7355C">
            <w:pPr>
              <w:jc w:val="center"/>
              <w:rPr>
                <w:rFonts w:ascii="Arial Narrow" w:hAnsi="Arial Narrow"/>
                <w:b/>
              </w:rPr>
            </w:pPr>
            <w:bookmarkStart w:id="0" w:name="_Toc509690272"/>
            <w:r w:rsidRPr="009A09E2">
              <w:rPr>
                <w:rFonts w:ascii="Arial Narrow" w:hAnsi="Arial Narrow"/>
                <w:b/>
              </w:rPr>
              <w:t>Obowiązek informacyjny</w:t>
            </w:r>
            <w:bookmarkEnd w:id="0"/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jc w:val="both"/>
              <w:rPr>
                <w:rFonts w:ascii="Arial Narrow" w:hAnsi="Arial Narrow"/>
              </w:rPr>
            </w:pPr>
            <w:r w:rsidRPr="009A09E2">
              <w:rPr>
                <w:rFonts w:ascii="Arial Narrow" w:hAnsi="Arial Narrow"/>
              </w:rPr>
              <w:t xml:space="preserve">Na podstawie art. 13 </w:t>
            </w:r>
            <w:r w:rsidRPr="009A09E2">
              <w:rPr>
                <w:rFonts w:ascii="Arial Narrow" w:hAnsi="Arial Narrow" w:cs="Arial"/>
                <w:bCs/>
                <w:iCs/>
                <w:spacing w:val="1"/>
              </w:rPr>
              <w:t>Parlamentu Europejskiego i Rady</w:t>
            </w:r>
            <w:r w:rsidRPr="009A09E2">
              <w:rPr>
                <w:rFonts w:ascii="Arial Narrow" w:hAnsi="Arial Narrow"/>
              </w:rPr>
              <w:t xml:space="preserve"> (UE) 2016/679 z dnia 27 kwietnia 2016 roku w sprawie ochrony osób fizycznych w związku z przetwarzaniem danych osobowych i w sprawie swobodnego przepływu takich danych oraz uchylenia dyrektywy 95/46/WE informuję, że:</w:t>
            </w:r>
          </w:p>
        </w:tc>
      </w:tr>
      <w:tr w:rsidR="001E4162" w:rsidRPr="007B0DE4" w:rsidTr="00C7355C">
        <w:tc>
          <w:tcPr>
            <w:tcW w:w="3256" w:type="dxa"/>
            <w:shd w:val="clear" w:color="auto" w:fill="auto"/>
          </w:tcPr>
          <w:p w:rsidR="001E4162" w:rsidRPr="009A09E2" w:rsidRDefault="001E4162" w:rsidP="00C7355C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 w:rsidRPr="009A09E2">
              <w:rPr>
                <w:rFonts w:ascii="Arial Narrow" w:hAnsi="Arial Narrow"/>
              </w:rPr>
              <w:t>Administratorem danych osobowych jest</w:t>
            </w:r>
          </w:p>
        </w:tc>
        <w:tc>
          <w:tcPr>
            <w:tcW w:w="6656" w:type="dxa"/>
            <w:shd w:val="clear" w:color="auto" w:fill="auto"/>
          </w:tcPr>
          <w:p w:rsidR="001E4162" w:rsidRPr="009A09E2" w:rsidRDefault="00091611" w:rsidP="00C7355C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SourceSansPro-Regular"/>
              </w:rPr>
              <w:t>Poradnia P</w:t>
            </w:r>
            <w:r w:rsidR="001E4162">
              <w:rPr>
                <w:rFonts w:ascii="Arial Narrow" w:hAnsi="Arial Narrow" w:cs="SourceSansPro-Regular"/>
              </w:rPr>
              <w:t>sychologiczno-Pedagogiczna nr 6  w Łodzi, ul. Rzgowska  25</w:t>
            </w:r>
            <w:r w:rsidR="001E4162" w:rsidRPr="009A09E2">
              <w:rPr>
                <w:rFonts w:ascii="Arial Narrow" w:hAnsi="Arial Narrow" w:cs="SourceSansPro-Regular"/>
              </w:rPr>
              <w:t xml:space="preserve"> </w:t>
            </w:r>
          </w:p>
        </w:tc>
      </w:tr>
      <w:tr w:rsidR="001E4162" w:rsidRPr="001E4162" w:rsidTr="00C7355C">
        <w:tc>
          <w:tcPr>
            <w:tcW w:w="32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Dane kontaktowe inspektora ochrony danych</w:t>
            </w:r>
          </w:p>
        </w:tc>
        <w:tc>
          <w:tcPr>
            <w:tcW w:w="6656" w:type="dxa"/>
            <w:shd w:val="clear" w:color="auto" w:fill="auto"/>
          </w:tcPr>
          <w:p w:rsidR="001E4162" w:rsidRPr="001E4162" w:rsidRDefault="007230B9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lang w:val="en-US"/>
              </w:rPr>
            </w:pPr>
            <w:r>
              <w:rPr>
                <w:rFonts w:ascii="Arial Narrow" w:hAnsi="Arial Narrow" w:cs="SourceSansPro-Regular"/>
                <w:lang w:val="en-US"/>
              </w:rPr>
              <w:t>e-mail: iodppp6@cuwo.lodz</w:t>
            </w:r>
            <w:r w:rsidR="001E4162" w:rsidRPr="001E4162">
              <w:rPr>
                <w:rFonts w:ascii="Arial Narrow" w:hAnsi="Arial Narrow" w:cs="SourceSansPro-Regular"/>
                <w:lang w:val="en-US"/>
              </w:rPr>
              <w:t>.pl</w:t>
            </w:r>
            <w:bookmarkStart w:id="1" w:name="_GoBack"/>
            <w:bookmarkEnd w:id="1"/>
          </w:p>
        </w:tc>
      </w:tr>
      <w:tr w:rsidR="001E4162" w:rsidRPr="007B0DE4" w:rsidTr="00C7355C">
        <w:tc>
          <w:tcPr>
            <w:tcW w:w="32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Celem przetwarzania jest</w:t>
            </w: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 xml:space="preserve">Zawarcie i wykonywanie umów cywilnoprawnych zawartych pomiędzy Panią/Panem a Administratorem (realizacja zadań zleceniodawcy) oraz dokonanie niezbędnych rozliczeń w związku z jej zawarciem – przez czas niezbędny do realizacji umowy, a po jej zakończeniu przez czas potrzebny na wykazanie prawidłowości wykonania wynikających z niej obowiązków, </w:t>
            </w:r>
          </w:p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Wykonywanie ustawowych obowiązków Administratora, w szczególności podatkowych i sprawozdawczych – przez czas niezbędny do realizacji ustawowych obowiązków Administratora, w tym do upływu terminu przedawnienia zobowiązań podatkowych lub do upływu terminów wskazanych w przepisach o archiwizacji.</w:t>
            </w:r>
          </w:p>
        </w:tc>
      </w:tr>
      <w:tr w:rsidR="001E4162" w:rsidRPr="007B0DE4" w:rsidTr="00C7355C">
        <w:trPr>
          <w:trHeight w:val="124"/>
        </w:trPr>
        <w:tc>
          <w:tcPr>
            <w:tcW w:w="3256" w:type="dxa"/>
            <w:vMerge w:val="restart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Podstawą przetwarzania są:</w:t>
            </w:r>
          </w:p>
          <w:p w:rsidR="001E4162" w:rsidRPr="009A09E2" w:rsidRDefault="001E4162" w:rsidP="00C7355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SourceSansPro-Regular"/>
              </w:rPr>
            </w:pPr>
          </w:p>
          <w:p w:rsidR="001E4162" w:rsidRPr="009A09E2" w:rsidRDefault="001E4162" w:rsidP="00C7355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/>
              </w:rPr>
            </w:pPr>
            <w:r w:rsidRPr="009A09E2">
              <w:rPr>
                <w:rFonts w:ascii="Arial Narrow" w:hAnsi="Arial Narrow" w:cs="Segoe UI Symbol"/>
              </w:rPr>
              <w:t>U</w:t>
            </w:r>
            <w:r w:rsidRPr="009A09E2">
              <w:rPr>
                <w:rFonts w:ascii="Arial Narrow" w:hAnsi="Arial Narrow"/>
              </w:rPr>
              <w:t>stawa z dnia 23 kwietnia 1964 r. Kodeks cywilny</w:t>
            </w:r>
          </w:p>
        </w:tc>
      </w:tr>
      <w:tr w:rsidR="001E4162" w:rsidRPr="007B0DE4" w:rsidTr="00C7355C">
        <w:trPr>
          <w:trHeight w:val="124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 w:cs="Segoe UI Symbol"/>
              </w:rPr>
            </w:pPr>
            <w:r w:rsidRPr="009A09E2">
              <w:rPr>
                <w:rFonts w:ascii="Arial Narrow" w:hAnsi="Arial Narrow" w:cs="Segoe UI Symbol"/>
              </w:rPr>
              <w:t>Ustawa z dnia 26 czerwca 1974r. Kodeks Pracy</w:t>
            </w:r>
          </w:p>
        </w:tc>
      </w:tr>
      <w:tr w:rsidR="001E4162" w:rsidRPr="007B0DE4" w:rsidTr="00C7355C">
        <w:trPr>
          <w:trHeight w:val="764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/>
              </w:rPr>
            </w:pPr>
            <w:r w:rsidRPr="009A09E2">
              <w:rPr>
                <w:rFonts w:ascii="Arial Narrow" w:hAnsi="Arial Narrow"/>
              </w:rPr>
              <w:t>Rozporządzenie Ministra Pracy i Polityki Socjalnej z dnia 28 maja 1996 r. w sprawie zakresu prowadzenia przez pracodawców dokumentacji w sprawach związanych ze stosunkiem pracy oraz sposobu prowadzenia akt osobowych pracownika</w:t>
            </w:r>
          </w:p>
        </w:tc>
      </w:tr>
      <w:tr w:rsidR="001E4162" w:rsidRPr="007B0DE4" w:rsidTr="00C7355C">
        <w:trPr>
          <w:trHeight w:val="190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 w:cs="Segoe UI Symbol"/>
              </w:rPr>
            </w:pPr>
            <w:r w:rsidRPr="009A09E2">
              <w:rPr>
                <w:rFonts w:ascii="Arial Narrow" w:hAnsi="Arial Narrow" w:cs="Segoe UI Symbol"/>
              </w:rPr>
              <w:t>Ustawy z dnia 26 lipca 1991 roku o podatku od osób fizycznych</w:t>
            </w:r>
          </w:p>
        </w:tc>
      </w:tr>
      <w:tr w:rsidR="001E4162" w:rsidRPr="007B0DE4" w:rsidTr="00C7355C">
        <w:trPr>
          <w:trHeight w:val="190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 w:cs="Helvetica"/>
                <w:color w:val="000000"/>
              </w:rPr>
            </w:pPr>
            <w:r w:rsidRPr="009A09E2">
              <w:rPr>
                <w:rFonts w:ascii="Arial Narrow" w:hAnsi="Arial Narrow" w:cs="Helvetica"/>
                <w:color w:val="000000"/>
              </w:rPr>
              <w:t>Ustawa z dnia 13 października 1998 roku o systemie ubezpieczeń społecznych</w:t>
            </w:r>
          </w:p>
        </w:tc>
      </w:tr>
      <w:tr w:rsidR="001E4162" w:rsidRPr="007B0DE4" w:rsidTr="00C7355C">
        <w:trPr>
          <w:trHeight w:val="190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/>
                <w:color w:val="222222"/>
                <w:kern w:val="36"/>
              </w:rPr>
            </w:pPr>
            <w:r w:rsidRPr="009A09E2">
              <w:rPr>
                <w:rFonts w:ascii="Arial Narrow" w:hAnsi="Arial Narrow"/>
                <w:bCs/>
                <w:color w:val="000000"/>
              </w:rPr>
              <w:t>Ustawa z 20 kwietnia 2004 roku o promocji zatrudnienia i instytucjach rynku pracy</w:t>
            </w:r>
          </w:p>
        </w:tc>
      </w:tr>
      <w:tr w:rsidR="001E4162" w:rsidRPr="007B0DE4" w:rsidTr="00C7355C">
        <w:trPr>
          <w:trHeight w:val="58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/>
              </w:rPr>
            </w:pPr>
            <w:r w:rsidRPr="009A09E2">
              <w:rPr>
                <w:rFonts w:ascii="Arial Narrow" w:hAnsi="Arial Narrow"/>
              </w:rPr>
              <w:t>Zgoda osoby, której dane dotyczą</w:t>
            </w:r>
          </w:p>
        </w:tc>
      </w:tr>
      <w:tr w:rsidR="001E4162" w:rsidRPr="007B0DE4" w:rsidTr="00C7355C">
        <w:tc>
          <w:tcPr>
            <w:tcW w:w="32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Odbiorcami danych osobowych są</w:t>
            </w: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/>
              </w:rPr>
              <w:t xml:space="preserve">Podmioty, którym należy udostępnić dane osobowe pracownika na podstawie przepisów prawa (Urząd Skarbowy, Zakład Ubezpieczeń Społecznych, Komornik, Sądy, PIP) oraz banki i inne podmioty na wniosek pracownika. 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Dane osobowe będą przechowywane przez okres trwania umowy cywilnoprawnej od dnia zakończenia zlecenia do celów związanych z jego realizacją oraz przez czas niezbędny do realizacji ustawowych obowiązków Administratora, w tym do upływu terminu przedawnienia zobowiązań podatkowych lub do upływu terminów wskazanych w przepisach o archiwizacji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7B0DE4" w:rsidRDefault="001E4162" w:rsidP="00C7355C">
            <w:pPr>
              <w:jc w:val="both"/>
            </w:pPr>
            <w:r w:rsidRPr="009A09E2">
              <w:rPr>
                <w:rFonts w:ascii="Arial Narrow" w:hAnsi="Arial Narrow" w:cs="SourceSansPro-Regular"/>
              </w:rPr>
              <w:t xml:space="preserve">Dane osobowe nie będą przekazywane do państwa trzeciego lub organizacji międzynarodowej. </w:t>
            </w:r>
            <w:r w:rsidRPr="007B0DE4">
              <w:t>Decyzje dotyczące realizacji zadań pracodawcy nie będą podejmowane w sposób zautomatyzowany.</w:t>
            </w:r>
          </w:p>
        </w:tc>
      </w:tr>
      <w:tr w:rsidR="001E4162" w:rsidRPr="007B0DE4" w:rsidTr="00C7355C">
        <w:tc>
          <w:tcPr>
            <w:tcW w:w="3256" w:type="dxa"/>
            <w:vMerge w:val="restart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Ma Pan/Pani prawo do</w:t>
            </w: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dostępu do dotyczących go danych osobowych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sprostowania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egoe UI Symbol"/>
              </w:rPr>
              <w:t>ograniczenia przetwarzania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egoe UI Symbol"/>
              </w:rPr>
              <w:t>wniesienia sprzeciwu wobec przetwarzania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egoe UI Symbol"/>
              </w:rPr>
              <w:t xml:space="preserve">informacji </w:t>
            </w:r>
            <w:r w:rsidRPr="009A09E2">
              <w:rPr>
                <w:rFonts w:ascii="Arial Narrow" w:hAnsi="Arial Narrow" w:cs="SourceSansPro-Regular"/>
              </w:rPr>
              <w:t>o prawie do cofnięcia zgody w dowolnym momencie bez wpływu na zgodność z prawem przetwarzania, którego dokonano na podstawie zgody przed jej cofnięciem oraz usunięcia lub ograniczenia przetwarzania lub o prawie do wniesienia sprzeciwu wobec przetwarzania, a także o prawie do przenoszenia danych (dotyczy danych przetwarzanych na podstawie zgody)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wniesienia skargi do organu nadzorczego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Ma Pan/Pani prawo do cofnięcia zgody w dowolnym momencie bez wpływu na zgodność z prawem przetwarzania, którego dokonano na podstawie zgody przed jej cofnięciem. Wycofanie się ze zgody należy złożyć w formie wniosku drogą pisemną lub w przypadku zbierania danych osobowych w formularzu internetowym za pomocą odznaczenia zgody na formularzu internetowym. Konsekwencją wycofania się ze zgody będzie brak możliwości przetwarzania danych innych niż wynikające z przepisów prawa.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Podanie danych osobowych wynikających z przepisu prawa jest wymogiem ustawowym. Niepodanie tych danych spowoduje brak możliwości realizacji zadań.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 w:rsidRPr="009A09E2">
              <w:rPr>
                <w:rFonts w:ascii="Arial Narrow" w:hAnsi="Arial Narrow" w:cs="Arial"/>
              </w:rPr>
              <w:t>Administrator nie profiluje danych osobowych.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 w:rsidRPr="009A09E2">
              <w:rPr>
                <w:rFonts w:ascii="Arial Narrow" w:hAnsi="Arial Narrow" w:cs="SourceSansPro-Regular"/>
              </w:rPr>
              <w:t>Administrator nie przewiduje przetwarzania danych osobowych w celu innym niż cel, w którym dane osobowe zostały zebrane.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rPr>
                <w:rFonts w:ascii="Arial Narrow" w:hAnsi="Arial Narrow" w:cs="Arial"/>
              </w:rPr>
            </w:pPr>
            <w:r w:rsidRPr="009A09E2">
              <w:rPr>
                <w:rFonts w:ascii="Arial Narrow" w:hAnsi="Arial Narrow" w:cs="Arial"/>
              </w:rPr>
              <w:t>Administrator po ustaniu celu przetwarzania planuje dalsze przetwarzanie danych tylko w przypadku, gdy osoba, której dane dotyczą, wyrazi na to zgodę.</w:t>
            </w:r>
          </w:p>
        </w:tc>
      </w:tr>
    </w:tbl>
    <w:p w:rsidR="001E4162" w:rsidRPr="007B0DE4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</w:pPr>
    </w:p>
    <w:p w:rsidR="001E4162" w:rsidRPr="007B0DE4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</w:pPr>
    </w:p>
    <w:p w:rsidR="001E4162" w:rsidRPr="007B0DE4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</w:pPr>
      <w:r w:rsidRPr="007B0DE4">
        <w:t xml:space="preserve">    …………………………………………..</w:t>
      </w:r>
    </w:p>
    <w:p w:rsidR="001E4162" w:rsidRPr="00BA0DF2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</w:pPr>
      <w:r w:rsidRPr="007B0DE4">
        <w:t>Data i podpis zleceniobiorcy</w:t>
      </w:r>
    </w:p>
    <w:p w:rsidR="00D078F8" w:rsidRDefault="007230B9"/>
    <w:sectPr w:rsidR="00D078F8" w:rsidSect="00235815">
      <w:headerReference w:type="default" r:id="rId6"/>
      <w:footerReference w:type="even" r:id="rId7"/>
      <w:footerReference w:type="default" r:id="rId8"/>
      <w:pgSz w:w="11906" w:h="16838" w:code="9"/>
      <w:pgMar w:top="1417" w:right="1417" w:bottom="1417" w:left="1417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E0" w:rsidRDefault="00491A36">
      <w:r>
        <w:separator/>
      </w:r>
    </w:p>
  </w:endnote>
  <w:endnote w:type="continuationSeparator" w:id="0">
    <w:p w:rsidR="00E02BE0" w:rsidRDefault="0049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42" w:rsidRPr="002C41C2" w:rsidRDefault="007230B9" w:rsidP="00F5402F">
    <w:pPr>
      <w:rPr>
        <w:rFonts w:ascii="Arial" w:hAnsi="Arial" w:cs="Arial"/>
        <w:i/>
        <w:sz w:val="4"/>
        <w:szCs w:val="4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42" w:rsidRPr="00CE3AB3" w:rsidRDefault="007230B9" w:rsidP="00B87AF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E0" w:rsidRDefault="00491A36">
      <w:r>
        <w:separator/>
      </w:r>
    </w:p>
  </w:footnote>
  <w:footnote w:type="continuationSeparator" w:id="0">
    <w:p w:rsidR="00E02BE0" w:rsidRDefault="0049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42" w:rsidRPr="00DB5AC5" w:rsidRDefault="007230B9" w:rsidP="00DB5AC5">
    <w:pPr>
      <w:pStyle w:val="Nagwek"/>
      <w:rPr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EC"/>
    <w:rsid w:val="00025C15"/>
    <w:rsid w:val="00091611"/>
    <w:rsid w:val="001E4162"/>
    <w:rsid w:val="00491A36"/>
    <w:rsid w:val="00586CEC"/>
    <w:rsid w:val="007230B9"/>
    <w:rsid w:val="0096318D"/>
    <w:rsid w:val="00E02BE0"/>
    <w:rsid w:val="00E6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A039"/>
  <w15:chartTrackingRefBased/>
  <w15:docId w15:val="{56FFEB81-2502-4C34-9CBD-580CDDE4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4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41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1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1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ZPI</dc:creator>
  <cp:keywords/>
  <dc:description/>
  <cp:lastModifiedBy>Poradnia</cp:lastModifiedBy>
  <cp:revision>3</cp:revision>
  <dcterms:created xsi:type="dcterms:W3CDTF">2024-09-05T12:03:00Z</dcterms:created>
  <dcterms:modified xsi:type="dcterms:W3CDTF">2025-09-08T10:53:00Z</dcterms:modified>
</cp:coreProperties>
</file>